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25" w:rsidRPr="00833725" w:rsidRDefault="00833725" w:rsidP="00833725">
      <w:pPr>
        <w:shd w:val="clear" w:color="auto" w:fill="F4F6F8"/>
        <w:spacing w:after="0" w:line="360" w:lineRule="auto"/>
        <w:textAlignment w:val="baseline"/>
        <w:rPr>
          <w:rFonts w:asciiTheme="majorHAnsi" w:eastAsia="Times New Roman" w:hAnsiTheme="majorHAnsi" w:cstheme="majorHAnsi"/>
          <w:b/>
          <w:bCs/>
          <w:color w:val="CE0019"/>
          <w:sz w:val="32"/>
          <w:szCs w:val="32"/>
          <w:lang w:eastAsia="vi-VN"/>
        </w:rPr>
      </w:pPr>
      <w:hyperlink r:id="rId5" w:history="1">
        <w:r w:rsidRPr="00833725">
          <w:rPr>
            <w:rFonts w:asciiTheme="majorHAnsi" w:eastAsia="Times New Roman" w:hAnsiTheme="majorHAnsi" w:cstheme="majorHAnsi"/>
            <w:b/>
            <w:bCs/>
            <w:color w:val="CE0019"/>
            <w:sz w:val="32"/>
            <w:szCs w:val="32"/>
            <w:bdr w:val="none" w:sz="0" w:space="0" w:color="auto" w:frame="1"/>
            <w:lang w:eastAsia="vi-VN"/>
          </w:rPr>
          <w:t>EPS 2010 dự kiến ở mức 3.300 đồng</w:t>
        </w:r>
      </w:hyperlink>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Giá trị sổ sách ở mức cao, khoảng 17.000 đồng/cp và đơn vị tư vấn năm giữ một tỷ lệ lớn cổ phiếu niêm yết của công ty có thể là những yếu tố hấp dẫn thu hút nhà đầu tư quan tâm đến cổ phiếu này.</w:t>
      </w:r>
      <w:r w:rsidRPr="00833725">
        <w:rPr>
          <w:rFonts w:asciiTheme="majorHAnsi" w:eastAsia="Times New Roman" w:hAnsiTheme="majorHAnsi" w:cstheme="majorHAnsi"/>
          <w:color w:val="000000"/>
          <w:sz w:val="24"/>
          <w:szCs w:val="24"/>
          <w:lang w:eastAsia="vi-VN"/>
        </w:rPr>
        <w:br/>
        <w:t> </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b/>
          <w:bCs/>
          <w:color w:val="000000"/>
          <w:sz w:val="24"/>
          <w:szCs w:val="24"/>
          <w:bdr w:val="none" w:sz="0" w:space="0" w:color="auto" w:frame="1"/>
          <w:lang w:eastAsia="vi-VN"/>
        </w:rPr>
        <w:t>Tổng quan</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Với vốn điều lệ 24 tỷ đồng, Tổng Công ty cổ phần Y tế Danameco (mã CK: DNM) là doanh nghiệp quy mô nhỏ hoạt động trong lĩnh vực dịch vụ y tế. Khác với các công ty trong lĩnh vực y tế  đang niêm yết chủ yếu là công ty dược phẩm, DNM là tập trung sản xuất và cung cấp các sản phẩm và thiết bị y tế nhập khẩu.</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Thị trường của công ty chủ yếu là các bệnh viện và sở y tế tại miền Trung và dựa trên ưu thế là doanh nghiệp NN được cổ phần hóa, DNM thường dành được các hợp đồng cung cấp thiết bị, vật tư y tế. Đây có thể là nguồn doanh thu khá ổn định đảm bảo tỷ suất lợi nhuận gộp khoảng 20%/năm cho công ty.</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Cổ phần hóa năm 2005, DNM đã tăng vốn 3 lần trong các năm 2006 (9,7 tỷ), 2007 ( 15 tỷ) và 2008 ( 24,1 tỷ). Trong năm 2010, DNM không thể hoàn thành kế hoạch tăng vốn lên mức 36 tỷ đồng, trong đó 80%  lượng phát hành thông qua chào bán cho cổ đông hiện hữu.</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b/>
          <w:bCs/>
          <w:color w:val="000000"/>
          <w:sz w:val="24"/>
          <w:szCs w:val="24"/>
          <w:bdr w:val="none" w:sz="0" w:space="0" w:color="auto" w:frame="1"/>
          <w:lang w:eastAsia="vi-VN"/>
        </w:rPr>
        <w:t>Lợi nhuận</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 xml:space="preserve">Từ 2006 đến năm 2008, DNM đạt  doanh thu khoảng 100 tỷ mỗi năm, trong 2 năm trở lại đây doanh thu đã tăng 50% nhờ ký thêm được nhiều hợp đồng </w:t>
      </w:r>
      <w:bookmarkStart w:id="0" w:name="_GoBack"/>
      <w:bookmarkEnd w:id="0"/>
      <w:r w:rsidRPr="00833725">
        <w:rPr>
          <w:rFonts w:asciiTheme="majorHAnsi" w:eastAsia="Times New Roman" w:hAnsiTheme="majorHAnsi" w:cstheme="majorHAnsi"/>
          <w:color w:val="000000"/>
          <w:sz w:val="24"/>
          <w:szCs w:val="24"/>
          <w:lang w:eastAsia="vi-VN"/>
        </w:rPr>
        <w:t>với các bệnh viện mới, bao gồm cả ở Hà  Nội và TP.HCM.</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Mặc dù ghi nhận mức lợi nhuận gần 8 tỷ trong năm 2009, nhưng trong 6 tháng đầu năm 2010, DNM chỉ mới đạt hơn 2 tỷ đồng lợi nhuận tương đương 80 tỷ đồng doanh thu. So với kế hoạch ĐHCĐ 2010 đặt ra, DNM mới chỉ đạt 15% kế hoạch lợi nhuận và 45% kế hoạch doanh thu.</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Năm 2011, công ty đặt kế hoạch 210 tỷ đồng doanh thu và 15 tỷ đồng lợi nhuận sau thuế và duy trì mức độ tăng trưởng 25 – 30% lợi nhuận trong các năm tiếp theo.</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Hơn 50% doanh thu của DNM đến từ hoạt động nhập khẩu các thiết bị và vật tư y tế cung cấp cho các bệnh viện khu vực nhà nước. Tuy nhiên trong những năm qua Việt nam đã trang bị phổ cập với số tiền lên đến 4.000 – 5.000 tỷ đồng do vậy sức mua có thể không tăng thêm, điều này chắc chắn sẽ ảnh hưởng đến kế hoạch lợi nhuận của công ty.</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DNM đã thực hiện trả cổ tức tỷ lệ 2 con số trong 3 năm qua, cụ thể năm 2008 là 15%, năm 2009 là 20% và năm 2010 dự kiến là 20% (đã tạm ứng 10% trong tháng 9/2010).</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b/>
          <w:bCs/>
          <w:color w:val="000000"/>
          <w:sz w:val="24"/>
          <w:szCs w:val="24"/>
          <w:bdr w:val="none" w:sz="0" w:space="0" w:color="auto" w:frame="1"/>
          <w:lang w:eastAsia="vi-VN"/>
        </w:rPr>
        <w:t>Định giá</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lastRenderedPageBreak/>
        <w:t>Giá trị sổ sách của DNM đến ngày 30/6/2010 là 17.000 đồng/cp, trong đó đáng chú ý là khoản thặng dư vốn cổ phần hơn 9 tỷ đồng thu được từ đợt phát hành tăng vốn năm 2008. Đây là mức BV cao nhất so với các cổ phiếu thuộc ngành Y tế đang niêm yết trên hai sàn.</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DNM chưa công bố báo cáo lợi nhuận năm 2010 tuy nhiên với kết quả 6 tháng thất vọng, nhiều khả năng công ty sẽ không hoàn thành kế hoạch kinh doanh. Với giả định mức tăng trưởng 2 quý cuối năm tương đương năm 2009, DNM có thể sẽ đạt hơn 8 tỷ lợi nhuận trong cả năm 2010. Do đó EPS 2010 sẽ  ở mức 3.300 đồng/cp, so với PE của ngành hiện ở mức 7.4 thì giá của DNM có thể được giao dịch trong khoảng 24.000 – 25.000 đồng/cp.</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Trên sàn OTC, không có thông tin về giao dịch của cổ phiếu DNM.</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b/>
          <w:bCs/>
          <w:color w:val="000000"/>
          <w:sz w:val="24"/>
          <w:szCs w:val="24"/>
          <w:bdr w:val="none" w:sz="0" w:space="0" w:color="auto" w:frame="1"/>
          <w:lang w:eastAsia="vi-VN"/>
        </w:rPr>
        <w:t>Hạn chế giao dịch</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Số cổ phiếu bị hạn chế giao dịch của DNM bao gồm 436.570 cổ phiếu của ban lãnh đạo công ty, chiếm khoảng 25%  và 215.000 cổ phiếu của  Tổng công ty Thiết bị Y tế Việt nam, chiếm 8,9%.</w:t>
      </w:r>
    </w:p>
    <w:p w:rsidR="00833725" w:rsidRPr="00833725" w:rsidRDefault="00833725" w:rsidP="00833725">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833725">
        <w:rPr>
          <w:rFonts w:asciiTheme="majorHAnsi" w:eastAsia="Times New Roman" w:hAnsiTheme="majorHAnsi" w:cstheme="majorHAnsi"/>
          <w:color w:val="000000"/>
          <w:sz w:val="24"/>
          <w:szCs w:val="24"/>
          <w:lang w:eastAsia="vi-VN"/>
        </w:rPr>
        <w:t>Đáng chú ý là đơn vị tư vấn niêm yết cho DNM là CTCK Thăng Long và công ty ĐTTC Thăng Long hiện đang nắm giữ hơn 32% cổ phiếu của DNM. </w:t>
      </w:r>
    </w:p>
    <w:p w:rsidR="00C91FF2" w:rsidRPr="00833725" w:rsidRDefault="00C91FF2" w:rsidP="00833725">
      <w:pPr>
        <w:spacing w:after="0" w:line="360" w:lineRule="auto"/>
        <w:rPr>
          <w:rFonts w:asciiTheme="majorHAnsi" w:hAnsiTheme="majorHAnsi" w:cstheme="majorHAnsi"/>
          <w:sz w:val="24"/>
          <w:szCs w:val="24"/>
        </w:rPr>
      </w:pPr>
    </w:p>
    <w:sectPr w:rsidR="00C91FF2" w:rsidRPr="00833725" w:rsidSect="00833725">
      <w:pgSz w:w="11906" w:h="16838"/>
      <w:pgMar w:top="851"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25"/>
    <w:rsid w:val="00833725"/>
    <w:rsid w:val="00C91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725"/>
    <w:rPr>
      <w:color w:val="0000FF"/>
      <w:u w:val="single"/>
    </w:rPr>
  </w:style>
  <w:style w:type="paragraph" w:styleId="NormalWeb">
    <w:name w:val="Normal (Web)"/>
    <w:basedOn w:val="Normal"/>
    <w:uiPriority w:val="99"/>
    <w:semiHidden/>
    <w:unhideWhenUsed/>
    <w:rsid w:val="0083372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337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725"/>
    <w:rPr>
      <w:color w:val="0000FF"/>
      <w:u w:val="single"/>
    </w:rPr>
  </w:style>
  <w:style w:type="paragraph" w:styleId="NormalWeb">
    <w:name w:val="Normal (Web)"/>
    <w:basedOn w:val="Normal"/>
    <w:uiPriority w:val="99"/>
    <w:semiHidden/>
    <w:unhideWhenUsed/>
    <w:rsid w:val="0083372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33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6025">
      <w:bodyDiv w:val="1"/>
      <w:marLeft w:val="0"/>
      <w:marRight w:val="0"/>
      <w:marTop w:val="0"/>
      <w:marBottom w:val="0"/>
      <w:divBdr>
        <w:top w:val="none" w:sz="0" w:space="0" w:color="auto"/>
        <w:left w:val="none" w:sz="0" w:space="0" w:color="auto"/>
        <w:bottom w:val="none" w:sz="0" w:space="0" w:color="auto"/>
        <w:right w:val="none" w:sz="0" w:space="0" w:color="auto"/>
      </w:divBdr>
      <w:divsChild>
        <w:div w:id="1200707820">
          <w:marLeft w:val="0"/>
          <w:marRight w:val="0"/>
          <w:marTop w:val="150"/>
          <w:marBottom w:val="0"/>
          <w:divBdr>
            <w:top w:val="none" w:sz="0" w:space="0" w:color="auto"/>
            <w:left w:val="none" w:sz="0" w:space="0" w:color="auto"/>
            <w:bottom w:val="none" w:sz="0" w:space="0" w:color="auto"/>
            <w:right w:val="none" w:sz="0" w:space="0" w:color="auto"/>
          </w:divBdr>
        </w:div>
        <w:div w:id="1858618512">
          <w:marLeft w:val="0"/>
          <w:marRight w:val="0"/>
          <w:marTop w:val="75"/>
          <w:marBottom w:val="0"/>
          <w:divBdr>
            <w:top w:val="none" w:sz="0" w:space="0" w:color="auto"/>
            <w:left w:val="none" w:sz="0" w:space="0" w:color="auto"/>
            <w:bottom w:val="none" w:sz="0" w:space="0" w:color="auto"/>
            <w:right w:val="none" w:sz="0" w:space="0" w:color="auto"/>
          </w:divBdr>
        </w:div>
        <w:div w:id="168336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nameco.com/vn-vi/11-55-107-232/co-dong/tin-tuc-co-dong/eps-2010-du-kien-o-muc-3-300-do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2017-11-13T04:41:00Z</dcterms:created>
  <dcterms:modified xsi:type="dcterms:W3CDTF">2017-11-13T04:42:00Z</dcterms:modified>
</cp:coreProperties>
</file>